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Look w:val="04A0" w:firstRow="1" w:lastRow="0" w:firstColumn="1" w:lastColumn="0" w:noHBand="0" w:noVBand="1"/>
      </w:tblPr>
      <w:tblGrid>
        <w:gridCol w:w="2213"/>
        <w:gridCol w:w="5811"/>
        <w:gridCol w:w="2919"/>
      </w:tblGrid>
      <w:tr w:rsidR="00DC0440" w:rsidTr="005543D9">
        <w:trPr>
          <w:jc w:val="center"/>
        </w:trPr>
        <w:tc>
          <w:tcPr>
            <w:tcW w:w="2213" w:type="dxa"/>
            <w:vMerge w:val="restart"/>
            <w:vAlign w:val="center"/>
          </w:tcPr>
          <w:p w:rsidR="00DC0440" w:rsidRDefault="00DC0440" w:rsidP="00E80990">
            <w:bookmarkStart w:id="0" w:name="_GoBack"/>
            <w:bookmarkEnd w:id="0"/>
            <w:r>
              <w:t xml:space="preserve">    </w:t>
            </w:r>
            <w:r w:rsidR="002E69E8" w:rsidRPr="002E69E8">
              <w:rPr>
                <w:rFonts w:ascii="Calibri" w:eastAsia="Times New Roman" w:hAnsi="Calibri" w:cs="Times New Roman"/>
                <w:noProof/>
              </w:rPr>
              <w:drawing>
                <wp:inline distT="0" distB="0" distL="0" distR="0" wp14:anchorId="4A34C06F" wp14:editId="1D62EDC8">
                  <wp:extent cx="1163955" cy="391795"/>
                  <wp:effectExtent l="0" t="0" r="0" b="8255"/>
                  <wp:docPr id="2" name="Image 2" descr="logo qualiris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qualiris sans fo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3955" cy="391795"/>
                          </a:xfrm>
                          <a:prstGeom prst="rect">
                            <a:avLst/>
                          </a:prstGeom>
                          <a:noFill/>
                          <a:ln>
                            <a:noFill/>
                          </a:ln>
                        </pic:spPr>
                      </pic:pic>
                    </a:graphicData>
                  </a:graphic>
                </wp:inline>
              </w:drawing>
            </w:r>
          </w:p>
        </w:tc>
        <w:tc>
          <w:tcPr>
            <w:tcW w:w="5811" w:type="dxa"/>
            <w:vMerge w:val="restart"/>
            <w:vAlign w:val="center"/>
          </w:tcPr>
          <w:p w:rsidR="00E97E71" w:rsidRPr="00BB5C03" w:rsidRDefault="00E97E71" w:rsidP="00D22795">
            <w:pPr>
              <w:jc w:val="center"/>
              <w:rPr>
                <w:b/>
                <w:color w:val="C0504D" w:themeColor="accent2"/>
                <w:sz w:val="36"/>
              </w:rPr>
            </w:pPr>
            <w:r w:rsidRPr="00BB5C03">
              <w:rPr>
                <w:b/>
                <w:color w:val="C0504D" w:themeColor="accent2"/>
                <w:sz w:val="36"/>
              </w:rPr>
              <w:t>Charte du retour d’expérience</w:t>
            </w:r>
          </w:p>
          <w:p w:rsidR="00DC0440" w:rsidRPr="00F36AB9" w:rsidRDefault="00E97E71" w:rsidP="00D22795">
            <w:pPr>
              <w:jc w:val="center"/>
              <w:rPr>
                <w:b/>
                <w:color w:val="FF0000"/>
                <w:sz w:val="32"/>
              </w:rPr>
            </w:pPr>
            <w:r w:rsidRPr="00BB5C03">
              <w:rPr>
                <w:b/>
                <w:color w:val="C0504D" w:themeColor="accent2"/>
                <w:sz w:val="36"/>
              </w:rPr>
              <w:t xml:space="preserve"> inter établissement </w:t>
            </w:r>
          </w:p>
        </w:tc>
        <w:tc>
          <w:tcPr>
            <w:tcW w:w="2919" w:type="dxa"/>
            <w:vAlign w:val="center"/>
          </w:tcPr>
          <w:p w:rsidR="00DC0440" w:rsidRPr="00E80990" w:rsidRDefault="00DC0440" w:rsidP="00F75A4A">
            <w:r w:rsidRPr="00E80990">
              <w:t xml:space="preserve">GT </w:t>
            </w:r>
            <w:r w:rsidR="00F75A4A">
              <w:t xml:space="preserve">CREX inter  établissements </w:t>
            </w:r>
          </w:p>
        </w:tc>
      </w:tr>
      <w:tr w:rsidR="00DC0440" w:rsidTr="005543D9">
        <w:trPr>
          <w:jc w:val="center"/>
        </w:trPr>
        <w:tc>
          <w:tcPr>
            <w:tcW w:w="2213" w:type="dxa"/>
            <w:vMerge/>
            <w:vAlign w:val="center"/>
          </w:tcPr>
          <w:p w:rsidR="00DC0440" w:rsidRDefault="00DC0440" w:rsidP="00E80990"/>
        </w:tc>
        <w:tc>
          <w:tcPr>
            <w:tcW w:w="5811" w:type="dxa"/>
            <w:vMerge/>
            <w:vAlign w:val="center"/>
          </w:tcPr>
          <w:p w:rsidR="00DC0440" w:rsidRDefault="00DC0440" w:rsidP="00E80990"/>
        </w:tc>
        <w:tc>
          <w:tcPr>
            <w:tcW w:w="2919" w:type="dxa"/>
            <w:vAlign w:val="center"/>
          </w:tcPr>
          <w:p w:rsidR="00DC0440" w:rsidRDefault="00DC0440" w:rsidP="00E97E71">
            <w:r>
              <w:t xml:space="preserve">Date de rédaction : </w:t>
            </w:r>
            <w:r w:rsidR="00E97E71">
              <w:t>13/11/2017</w:t>
            </w:r>
          </w:p>
        </w:tc>
      </w:tr>
      <w:tr w:rsidR="00DC0440" w:rsidTr="005543D9">
        <w:trPr>
          <w:jc w:val="center"/>
        </w:trPr>
        <w:tc>
          <w:tcPr>
            <w:tcW w:w="2213" w:type="dxa"/>
            <w:vMerge/>
            <w:vAlign w:val="center"/>
          </w:tcPr>
          <w:p w:rsidR="00DC0440" w:rsidRDefault="00DC0440" w:rsidP="00E80990"/>
        </w:tc>
        <w:tc>
          <w:tcPr>
            <w:tcW w:w="5811" w:type="dxa"/>
            <w:vMerge/>
            <w:vAlign w:val="center"/>
          </w:tcPr>
          <w:p w:rsidR="00DC0440" w:rsidRDefault="00DC0440" w:rsidP="00E80990"/>
        </w:tc>
        <w:tc>
          <w:tcPr>
            <w:tcW w:w="2919" w:type="dxa"/>
            <w:vAlign w:val="center"/>
          </w:tcPr>
          <w:p w:rsidR="00DC0440" w:rsidRDefault="00B826B9" w:rsidP="00B826B9">
            <w:r>
              <w:t>Mise à jour : Décembre 2018</w:t>
            </w:r>
            <w:r w:rsidR="00DC0440">
              <w:t>:</w:t>
            </w:r>
          </w:p>
        </w:tc>
      </w:tr>
      <w:tr w:rsidR="00DC0440" w:rsidTr="005543D9">
        <w:trPr>
          <w:jc w:val="center"/>
        </w:trPr>
        <w:tc>
          <w:tcPr>
            <w:tcW w:w="2213" w:type="dxa"/>
            <w:vMerge/>
            <w:vAlign w:val="center"/>
          </w:tcPr>
          <w:p w:rsidR="00DC0440" w:rsidRDefault="00DC0440" w:rsidP="00E80990"/>
        </w:tc>
        <w:tc>
          <w:tcPr>
            <w:tcW w:w="5811" w:type="dxa"/>
            <w:vMerge/>
            <w:vAlign w:val="center"/>
          </w:tcPr>
          <w:p w:rsidR="00DC0440" w:rsidRDefault="00DC0440" w:rsidP="00E80990"/>
        </w:tc>
        <w:tc>
          <w:tcPr>
            <w:tcW w:w="2919" w:type="dxa"/>
            <w:vAlign w:val="center"/>
          </w:tcPr>
          <w:p w:rsidR="00DC0440" w:rsidRDefault="00B826B9" w:rsidP="00ED3142">
            <w:r>
              <w:t xml:space="preserve">Réf. SRA MQR </w:t>
            </w:r>
            <w:r w:rsidR="00ED3142">
              <w:t xml:space="preserve">ENR </w:t>
            </w:r>
            <w:r>
              <w:t>2017.008 Version : n°2</w:t>
            </w:r>
          </w:p>
        </w:tc>
      </w:tr>
      <w:tr w:rsidR="00E97E71" w:rsidTr="00BB5C03">
        <w:trPr>
          <w:trHeight w:val="13892"/>
          <w:jc w:val="center"/>
        </w:trPr>
        <w:tc>
          <w:tcPr>
            <w:tcW w:w="10943" w:type="dxa"/>
            <w:gridSpan w:val="3"/>
            <w:vAlign w:val="center"/>
          </w:tcPr>
          <w:p w:rsidR="00FD1D60" w:rsidRPr="00D224FD" w:rsidRDefault="00E97E71" w:rsidP="00F75A4A">
            <w:pPr>
              <w:pStyle w:val="Default"/>
              <w:jc w:val="both"/>
              <w:rPr>
                <w:rFonts w:ascii="Arial Narrow" w:hAnsi="Arial Narrow" w:cs="Arial"/>
                <w:sz w:val="22"/>
                <w:szCs w:val="22"/>
              </w:rPr>
            </w:pPr>
            <w:r w:rsidRPr="00D224FD">
              <w:rPr>
                <w:rFonts w:ascii="Arial Narrow" w:hAnsi="Arial Narrow"/>
                <w:sz w:val="22"/>
                <w:szCs w:val="22"/>
              </w:rPr>
              <w:t>Un</w:t>
            </w:r>
            <w:r w:rsidR="00B14BBE" w:rsidRPr="00D224FD">
              <w:rPr>
                <w:rFonts w:ascii="Arial Narrow" w:hAnsi="Arial Narrow"/>
                <w:sz w:val="22"/>
                <w:szCs w:val="22"/>
              </w:rPr>
              <w:t xml:space="preserve">e démarche de </w:t>
            </w:r>
            <w:r w:rsidRPr="00D224FD">
              <w:rPr>
                <w:rFonts w:ascii="Arial Narrow" w:hAnsi="Arial Narrow"/>
                <w:sz w:val="22"/>
                <w:szCs w:val="22"/>
              </w:rPr>
              <w:t xml:space="preserve">Retour d’Expérience inter établissement est </w:t>
            </w:r>
            <w:r w:rsidR="00B14BBE" w:rsidRPr="00D224FD">
              <w:rPr>
                <w:rFonts w:ascii="Arial Narrow" w:hAnsi="Arial Narrow"/>
                <w:sz w:val="22"/>
                <w:szCs w:val="22"/>
              </w:rPr>
              <w:t xml:space="preserve">élaborée au sein de la région Centre. </w:t>
            </w:r>
            <w:r w:rsidRPr="00D224FD">
              <w:rPr>
                <w:rFonts w:ascii="Arial Narrow" w:hAnsi="Arial Narrow"/>
                <w:sz w:val="22"/>
                <w:szCs w:val="22"/>
              </w:rPr>
              <w:t xml:space="preserve"> </w:t>
            </w:r>
            <w:r w:rsidR="00F75A4A" w:rsidRPr="00D224FD">
              <w:rPr>
                <w:rFonts w:ascii="Arial Narrow" w:hAnsi="Arial Narrow" w:cs="Arial"/>
                <w:sz w:val="22"/>
                <w:szCs w:val="22"/>
              </w:rPr>
              <w:t>Elle</w:t>
            </w:r>
            <w:r w:rsidR="00FD1D60" w:rsidRPr="00D224FD">
              <w:rPr>
                <w:rFonts w:ascii="Arial Narrow" w:hAnsi="Arial Narrow" w:cs="Arial"/>
                <w:sz w:val="22"/>
                <w:szCs w:val="22"/>
              </w:rPr>
              <w:t xml:space="preserve"> </w:t>
            </w:r>
            <w:r w:rsidR="00B14BBE" w:rsidRPr="00D224FD">
              <w:rPr>
                <w:rFonts w:ascii="Arial Narrow" w:hAnsi="Arial Narrow" w:cs="Arial"/>
                <w:sz w:val="22"/>
                <w:szCs w:val="22"/>
              </w:rPr>
              <w:t xml:space="preserve">vise à </w:t>
            </w:r>
            <w:r w:rsidR="00F75A4A" w:rsidRPr="00D224FD">
              <w:rPr>
                <w:rFonts w:ascii="Arial Narrow" w:hAnsi="Arial Narrow" w:cs="Arial"/>
                <w:sz w:val="22"/>
                <w:szCs w:val="22"/>
              </w:rPr>
              <w:t xml:space="preserve">développer la culture de sécurité et à </w:t>
            </w:r>
            <w:r w:rsidR="00FD1D60" w:rsidRPr="00D224FD">
              <w:rPr>
                <w:rFonts w:ascii="Arial Narrow" w:hAnsi="Arial Narrow" w:cs="Arial"/>
                <w:sz w:val="22"/>
                <w:szCs w:val="22"/>
              </w:rPr>
              <w:t xml:space="preserve">tirer des enseignements de l’analyse des événements indésirables (EI) </w:t>
            </w:r>
            <w:r w:rsidR="00B14BBE" w:rsidRPr="00D224FD">
              <w:rPr>
                <w:rFonts w:ascii="Arial Narrow" w:hAnsi="Arial Narrow" w:cs="Arial"/>
                <w:sz w:val="22"/>
                <w:szCs w:val="22"/>
              </w:rPr>
              <w:t xml:space="preserve">inter établissements, </w:t>
            </w:r>
            <w:r w:rsidR="00FD1D60" w:rsidRPr="00D224FD">
              <w:rPr>
                <w:rFonts w:ascii="Arial Narrow" w:hAnsi="Arial Narrow" w:cs="Arial"/>
                <w:sz w:val="22"/>
                <w:szCs w:val="22"/>
              </w:rPr>
              <w:t xml:space="preserve">pour améliorer </w:t>
            </w:r>
            <w:r w:rsidR="00B14BBE" w:rsidRPr="00D224FD">
              <w:rPr>
                <w:rFonts w:ascii="Arial Narrow" w:hAnsi="Arial Narrow" w:cs="Arial"/>
                <w:sz w:val="22"/>
                <w:szCs w:val="22"/>
              </w:rPr>
              <w:t xml:space="preserve">la qualité et la continuité </w:t>
            </w:r>
            <w:r w:rsidR="003222D6" w:rsidRPr="00D224FD">
              <w:rPr>
                <w:rFonts w:ascii="Arial Narrow" w:hAnsi="Arial Narrow" w:cs="Arial"/>
                <w:sz w:val="22"/>
                <w:szCs w:val="22"/>
              </w:rPr>
              <w:t xml:space="preserve">des prises </w:t>
            </w:r>
            <w:r w:rsidR="00FD1D60" w:rsidRPr="00D224FD">
              <w:rPr>
                <w:rFonts w:ascii="Arial Narrow" w:hAnsi="Arial Narrow" w:cs="Arial"/>
                <w:sz w:val="22"/>
                <w:szCs w:val="22"/>
              </w:rPr>
              <w:t>en charge tout au long d</w:t>
            </w:r>
            <w:r w:rsidR="00B14BBE" w:rsidRPr="00D224FD">
              <w:rPr>
                <w:rFonts w:ascii="Arial Narrow" w:hAnsi="Arial Narrow" w:cs="Arial"/>
                <w:sz w:val="22"/>
                <w:szCs w:val="22"/>
              </w:rPr>
              <w:t xml:space="preserve">es </w:t>
            </w:r>
            <w:r w:rsidR="00FD1D60" w:rsidRPr="00D224FD">
              <w:rPr>
                <w:rFonts w:ascii="Arial Narrow" w:hAnsi="Arial Narrow" w:cs="Arial"/>
                <w:sz w:val="22"/>
                <w:szCs w:val="22"/>
              </w:rPr>
              <w:t>parcours patient</w:t>
            </w:r>
            <w:r w:rsidR="00F75A4A" w:rsidRPr="00D224FD">
              <w:rPr>
                <w:rFonts w:ascii="Arial Narrow" w:hAnsi="Arial Narrow" w:cs="Arial"/>
                <w:sz w:val="22"/>
                <w:szCs w:val="22"/>
              </w:rPr>
              <w:t xml:space="preserve">. </w:t>
            </w:r>
          </w:p>
          <w:p w:rsidR="003222D6" w:rsidRPr="00B826B9" w:rsidRDefault="003222D6" w:rsidP="003222D6">
            <w:pPr>
              <w:autoSpaceDE w:val="0"/>
              <w:autoSpaceDN w:val="0"/>
              <w:adjustRightInd w:val="0"/>
              <w:rPr>
                <w:rStyle w:val="Accentuation"/>
              </w:rPr>
            </w:pPr>
          </w:p>
          <w:p w:rsidR="00B14BBE" w:rsidRPr="00B826B9" w:rsidRDefault="00B14BBE" w:rsidP="00F75A4A">
            <w:pPr>
              <w:pStyle w:val="En-tte"/>
              <w:numPr>
                <w:ilvl w:val="0"/>
                <w:numId w:val="2"/>
              </w:numPr>
              <w:jc w:val="both"/>
              <w:rPr>
                <w:rStyle w:val="Accentuation"/>
              </w:rPr>
            </w:pPr>
            <w:r w:rsidRPr="00B826B9">
              <w:rPr>
                <w:rStyle w:val="Accentuation"/>
              </w:rPr>
              <w:t>Principe</w:t>
            </w:r>
            <w:r w:rsidR="00F75A4A" w:rsidRPr="00B826B9">
              <w:rPr>
                <w:rStyle w:val="Accentuation"/>
              </w:rPr>
              <w:t>s</w:t>
            </w:r>
            <w:r w:rsidRPr="00B826B9">
              <w:rPr>
                <w:rStyle w:val="Accentuation"/>
              </w:rPr>
              <w:t xml:space="preserve"> </w:t>
            </w:r>
            <w:r w:rsidR="00F75A4A" w:rsidRPr="00B826B9">
              <w:rPr>
                <w:rStyle w:val="Accentuation"/>
              </w:rPr>
              <w:t>de la démarche</w:t>
            </w:r>
          </w:p>
          <w:p w:rsidR="00F75A4A" w:rsidRPr="00BB5C03" w:rsidRDefault="00E97E71" w:rsidP="00B826B9">
            <w:pPr>
              <w:pStyle w:val="Default"/>
              <w:ind w:left="404"/>
              <w:jc w:val="both"/>
              <w:rPr>
                <w:rFonts w:ascii="Arial Narrow" w:hAnsi="Arial Narrow"/>
                <w:sz w:val="20"/>
                <w:szCs w:val="20"/>
              </w:rPr>
            </w:pPr>
            <w:r w:rsidRPr="00BB5C03">
              <w:rPr>
                <w:rFonts w:ascii="Arial Narrow" w:hAnsi="Arial Narrow"/>
                <w:sz w:val="20"/>
                <w:szCs w:val="20"/>
              </w:rPr>
              <w:t xml:space="preserve">Dans </w:t>
            </w:r>
            <w:r w:rsidR="00B14BBE" w:rsidRPr="00BB5C03">
              <w:rPr>
                <w:rFonts w:ascii="Arial Narrow" w:hAnsi="Arial Narrow"/>
                <w:sz w:val="20"/>
                <w:szCs w:val="20"/>
              </w:rPr>
              <w:t xml:space="preserve">ce </w:t>
            </w:r>
            <w:r w:rsidRPr="00BB5C03">
              <w:rPr>
                <w:rFonts w:ascii="Arial Narrow" w:hAnsi="Arial Narrow"/>
                <w:sz w:val="20"/>
                <w:szCs w:val="20"/>
              </w:rPr>
              <w:t>cadre</w:t>
            </w:r>
            <w:r w:rsidR="00B14BBE" w:rsidRPr="00BB5C03">
              <w:rPr>
                <w:rFonts w:ascii="Arial Narrow" w:hAnsi="Arial Narrow"/>
                <w:sz w:val="20"/>
                <w:szCs w:val="20"/>
              </w:rPr>
              <w:t xml:space="preserve">, </w:t>
            </w:r>
            <w:r w:rsidRPr="00BB5C03">
              <w:rPr>
                <w:rFonts w:ascii="Arial Narrow" w:hAnsi="Arial Narrow"/>
                <w:sz w:val="20"/>
                <w:szCs w:val="20"/>
              </w:rPr>
              <w:t xml:space="preserve">les établissements de santé sont invités à </w:t>
            </w:r>
            <w:r w:rsidR="00B14BBE" w:rsidRPr="00BB5C03">
              <w:rPr>
                <w:rFonts w:ascii="Arial Narrow" w:hAnsi="Arial Narrow"/>
                <w:sz w:val="20"/>
                <w:szCs w:val="20"/>
              </w:rPr>
              <w:t xml:space="preserve">se </w:t>
            </w:r>
            <w:r w:rsidRPr="00BB5C03">
              <w:rPr>
                <w:rFonts w:ascii="Arial Narrow" w:hAnsi="Arial Narrow"/>
                <w:sz w:val="20"/>
                <w:szCs w:val="20"/>
              </w:rPr>
              <w:t>communiquer leurs évènements indésirables inter établissements</w:t>
            </w:r>
            <w:r w:rsidR="009B0120" w:rsidRPr="00BB5C03">
              <w:rPr>
                <w:rFonts w:ascii="Arial Narrow" w:hAnsi="Arial Narrow"/>
                <w:sz w:val="20"/>
                <w:szCs w:val="20"/>
              </w:rPr>
              <w:t xml:space="preserve"> </w:t>
            </w:r>
            <w:r w:rsidRPr="00BB5C03">
              <w:rPr>
                <w:rFonts w:ascii="Arial Narrow" w:hAnsi="Arial Narrow"/>
                <w:sz w:val="20"/>
                <w:szCs w:val="20"/>
              </w:rPr>
              <w:t>afin d’améliorer l’efficience d</w:t>
            </w:r>
            <w:r w:rsidR="00B14BBE" w:rsidRPr="00BB5C03">
              <w:rPr>
                <w:rFonts w:ascii="Arial Narrow" w:hAnsi="Arial Narrow"/>
                <w:sz w:val="20"/>
                <w:szCs w:val="20"/>
              </w:rPr>
              <w:t xml:space="preserve">es </w:t>
            </w:r>
            <w:r w:rsidRPr="00BB5C03">
              <w:rPr>
                <w:rFonts w:ascii="Arial Narrow" w:hAnsi="Arial Narrow"/>
                <w:sz w:val="20"/>
                <w:szCs w:val="20"/>
              </w:rPr>
              <w:t xml:space="preserve">parcours patient. </w:t>
            </w:r>
            <w:r w:rsidR="009B0120" w:rsidRPr="00BB5C03">
              <w:rPr>
                <w:rFonts w:ascii="Arial Narrow" w:hAnsi="Arial Narrow"/>
                <w:sz w:val="20"/>
                <w:szCs w:val="20"/>
              </w:rPr>
              <w:t>La sélection des EI nécessitant une analyse systémique</w:t>
            </w:r>
            <w:r w:rsidR="004E61ED" w:rsidRPr="00BB5C03">
              <w:rPr>
                <w:rFonts w:ascii="Arial Narrow" w:hAnsi="Arial Narrow"/>
                <w:sz w:val="20"/>
                <w:szCs w:val="20"/>
              </w:rPr>
              <w:t xml:space="preserve"> est réalisée après avis d</w:t>
            </w:r>
            <w:r w:rsidR="009B0120" w:rsidRPr="00BB5C03">
              <w:rPr>
                <w:rFonts w:ascii="Arial Narrow" w:hAnsi="Arial Narrow"/>
                <w:sz w:val="20"/>
                <w:szCs w:val="20"/>
              </w:rPr>
              <w:t xml:space="preserve">u responsable qualité </w:t>
            </w:r>
            <w:r w:rsidR="009B0120" w:rsidRPr="00BB5C03">
              <w:rPr>
                <w:rFonts w:ascii="Arial Narrow" w:hAnsi="Arial Narrow"/>
                <w:b/>
                <w:sz w:val="20"/>
                <w:szCs w:val="20"/>
              </w:rPr>
              <w:t>et</w:t>
            </w:r>
            <w:r w:rsidR="00B826B9" w:rsidRPr="00BB5C03">
              <w:rPr>
                <w:rFonts w:ascii="Arial Narrow" w:hAnsi="Arial Narrow"/>
                <w:b/>
                <w:sz w:val="20"/>
                <w:szCs w:val="20"/>
              </w:rPr>
              <w:t>/ou</w:t>
            </w:r>
            <w:r w:rsidR="009B0120" w:rsidRPr="00BB5C03">
              <w:rPr>
                <w:rFonts w:ascii="Arial Narrow" w:hAnsi="Arial Narrow"/>
                <w:sz w:val="20"/>
                <w:szCs w:val="20"/>
              </w:rPr>
              <w:t xml:space="preserve"> des pilotes de processus de la structure</w:t>
            </w:r>
            <w:r w:rsidR="004E61ED" w:rsidRPr="00BB5C03">
              <w:rPr>
                <w:rFonts w:ascii="Arial Narrow" w:hAnsi="Arial Narrow"/>
                <w:sz w:val="20"/>
                <w:szCs w:val="20"/>
              </w:rPr>
              <w:t xml:space="preserve"> (criticité de l’EI).</w:t>
            </w:r>
          </w:p>
          <w:p w:rsidR="00E97E71" w:rsidRPr="00BB5C03" w:rsidRDefault="00E97E71" w:rsidP="00B826B9">
            <w:pPr>
              <w:pStyle w:val="Default"/>
              <w:ind w:left="404"/>
              <w:rPr>
                <w:rFonts w:ascii="Arial Narrow" w:hAnsi="Arial Narrow"/>
                <w:sz w:val="20"/>
                <w:szCs w:val="20"/>
              </w:rPr>
            </w:pPr>
          </w:p>
          <w:p w:rsidR="00197909" w:rsidRPr="00BB5C03" w:rsidRDefault="00197909" w:rsidP="00B826B9">
            <w:pPr>
              <w:pStyle w:val="En-tte"/>
              <w:ind w:left="404"/>
              <w:jc w:val="both"/>
              <w:rPr>
                <w:rFonts w:ascii="Arial Narrow" w:hAnsi="Arial Narrow"/>
                <w:bCs/>
                <w:i w:val="0"/>
              </w:rPr>
            </w:pPr>
            <w:r w:rsidRPr="00BB5C03">
              <w:rPr>
                <w:rFonts w:ascii="Arial Narrow" w:hAnsi="Arial Narrow"/>
                <w:bCs/>
                <w:i w:val="0"/>
              </w:rPr>
              <w:t>Pour garantir le bon fonctionnement de la démarche, tous les participants doivent être volontaires. Ils adoptent une approche positive de l’erreur, qui ne vise pas à déterminer des fautes ou établir des responsabilités.</w:t>
            </w:r>
            <w:r w:rsidR="00901C1A" w:rsidRPr="00BB5C03">
              <w:rPr>
                <w:rFonts w:ascii="Arial Narrow" w:hAnsi="Arial Narrow"/>
                <w:bCs/>
                <w:i w:val="0"/>
              </w:rPr>
              <w:t xml:space="preserve"> </w:t>
            </w:r>
            <w:r w:rsidR="00D67FDF" w:rsidRPr="00BB5C03">
              <w:rPr>
                <w:rFonts w:ascii="Arial Narrow" w:hAnsi="Arial Narrow"/>
                <w:bCs/>
                <w:i w:val="0"/>
              </w:rPr>
              <w:t xml:space="preserve">Chaque établissement signataire s’engage à respecter les principes énoncés dans sa charte de confiance ou de non punition interne. </w:t>
            </w:r>
            <w:r w:rsidRPr="00BB5C03">
              <w:rPr>
                <w:rFonts w:ascii="Arial Narrow" w:hAnsi="Arial Narrow"/>
                <w:bCs/>
                <w:i w:val="0"/>
              </w:rPr>
              <w:t xml:space="preserve">La démarche doit être pédagogique, dans le respect des règles de </w:t>
            </w:r>
            <w:r w:rsidRPr="00BB5C03">
              <w:rPr>
                <w:rFonts w:ascii="Arial Narrow" w:hAnsi="Arial Narrow"/>
                <w:bCs/>
                <w:i w:val="0"/>
                <w:u w:val="single"/>
              </w:rPr>
              <w:t>confidentialité</w:t>
            </w:r>
            <w:r w:rsidRPr="00BB5C03">
              <w:rPr>
                <w:rFonts w:ascii="Arial Narrow" w:hAnsi="Arial Narrow"/>
                <w:bCs/>
                <w:i w:val="0"/>
              </w:rPr>
              <w:t xml:space="preserve">. </w:t>
            </w:r>
          </w:p>
          <w:p w:rsidR="00F75A4A" w:rsidRPr="00D224FD" w:rsidRDefault="00F75A4A" w:rsidP="00F75A4A">
            <w:pPr>
              <w:pStyle w:val="Default"/>
              <w:jc w:val="both"/>
              <w:rPr>
                <w:rFonts w:ascii="Arial Narrow" w:hAnsi="Arial Narrow"/>
                <w:sz w:val="22"/>
                <w:szCs w:val="22"/>
              </w:rPr>
            </w:pPr>
          </w:p>
          <w:p w:rsidR="00F75A4A" w:rsidRPr="00B826B9" w:rsidRDefault="00F75A4A" w:rsidP="00B826B9">
            <w:pPr>
              <w:pStyle w:val="Paragraphedeliste"/>
              <w:numPr>
                <w:ilvl w:val="0"/>
                <w:numId w:val="3"/>
              </w:numPr>
              <w:autoSpaceDE w:val="0"/>
              <w:autoSpaceDN w:val="0"/>
              <w:adjustRightInd w:val="0"/>
              <w:rPr>
                <w:rStyle w:val="Accentuation"/>
              </w:rPr>
            </w:pPr>
            <w:r w:rsidRPr="00B826B9">
              <w:rPr>
                <w:rStyle w:val="Accentuation"/>
              </w:rPr>
              <w:t xml:space="preserve">Un interlocuteur ressource identifié par établissement </w:t>
            </w:r>
          </w:p>
          <w:p w:rsidR="00F75A4A" w:rsidRPr="00BB5C03" w:rsidRDefault="00F75A4A" w:rsidP="00B826B9">
            <w:pPr>
              <w:pStyle w:val="Default"/>
              <w:ind w:left="404"/>
              <w:jc w:val="both"/>
              <w:rPr>
                <w:rFonts w:ascii="Arial Narrow" w:hAnsi="Arial Narrow"/>
                <w:sz w:val="20"/>
                <w:szCs w:val="20"/>
              </w:rPr>
            </w:pPr>
            <w:r w:rsidRPr="00BB5C03">
              <w:rPr>
                <w:rFonts w:ascii="Arial Narrow" w:hAnsi="Arial Narrow"/>
                <w:sz w:val="20"/>
                <w:szCs w:val="20"/>
              </w:rPr>
              <w:t xml:space="preserve">Pour favoriser la communication inter établissements, un répertoire des personnes ressources de chaque établissement est mis à disposition et tenu par le réseau sur la plateforme QUALIRIS. Ce répertoire identifie les personnes qui réceptionnent les EI dans les établissements (responsable qualité ou gestionnaire des risques…), orientent les EI et organisent le retour expérience. </w:t>
            </w:r>
          </w:p>
          <w:p w:rsidR="00197909" w:rsidRPr="00BB5C03" w:rsidRDefault="00197909" w:rsidP="00947C6B">
            <w:pPr>
              <w:pStyle w:val="En-tte"/>
              <w:jc w:val="both"/>
              <w:rPr>
                <w:rStyle w:val="Accentuation"/>
              </w:rPr>
            </w:pPr>
          </w:p>
          <w:p w:rsidR="00D309E2" w:rsidRPr="00B826B9" w:rsidRDefault="00901C1A" w:rsidP="00F75A4A">
            <w:pPr>
              <w:pStyle w:val="En-tte"/>
              <w:numPr>
                <w:ilvl w:val="0"/>
                <w:numId w:val="2"/>
              </w:numPr>
              <w:jc w:val="both"/>
              <w:rPr>
                <w:rStyle w:val="Accentuation"/>
              </w:rPr>
            </w:pPr>
            <w:r w:rsidRPr="00B826B9">
              <w:rPr>
                <w:rStyle w:val="Accentuation"/>
              </w:rPr>
              <w:t>Préparation de la réunion de R</w:t>
            </w:r>
            <w:r w:rsidR="00F75A4A" w:rsidRPr="00B826B9">
              <w:rPr>
                <w:rStyle w:val="Accentuation"/>
              </w:rPr>
              <w:t>etour d’Expérience (R</w:t>
            </w:r>
            <w:r w:rsidRPr="00B826B9">
              <w:rPr>
                <w:rStyle w:val="Accentuation"/>
              </w:rPr>
              <w:t>EX</w:t>
            </w:r>
            <w:r w:rsidR="00F75A4A" w:rsidRPr="00B826B9">
              <w:rPr>
                <w:rStyle w:val="Accentuation"/>
              </w:rPr>
              <w:t>)</w:t>
            </w:r>
          </w:p>
          <w:p w:rsidR="00197909" w:rsidRPr="00B826B9" w:rsidRDefault="00197909" w:rsidP="00B826B9">
            <w:pPr>
              <w:pStyle w:val="En-tte"/>
              <w:ind w:left="404"/>
              <w:jc w:val="both"/>
              <w:rPr>
                <w:rFonts w:ascii="Arial Narrow" w:hAnsi="Arial Narrow"/>
                <w:bCs/>
                <w:i w:val="0"/>
              </w:rPr>
            </w:pPr>
            <w:r w:rsidRPr="00B826B9">
              <w:rPr>
                <w:rFonts w:ascii="Arial Narrow" w:hAnsi="Arial Narrow"/>
                <w:bCs/>
                <w:i w:val="0"/>
              </w:rPr>
              <w:t>La préparation de l’analyse est organisée dans chaque établissement (chronologie des faits</w:t>
            </w:r>
            <w:r w:rsidR="00F75A4A" w:rsidRPr="00B826B9">
              <w:rPr>
                <w:rFonts w:ascii="Arial Narrow" w:hAnsi="Arial Narrow"/>
                <w:bCs/>
                <w:i w:val="0"/>
              </w:rPr>
              <w:t>, i</w:t>
            </w:r>
            <w:r w:rsidRPr="00B826B9">
              <w:rPr>
                <w:rFonts w:ascii="Arial Narrow" w:hAnsi="Arial Narrow"/>
                <w:bCs/>
                <w:i w:val="0"/>
              </w:rPr>
              <w:t>dentification des écarts</w:t>
            </w:r>
            <w:r w:rsidR="00F75A4A" w:rsidRPr="00B826B9">
              <w:rPr>
                <w:rFonts w:ascii="Arial Narrow" w:hAnsi="Arial Narrow"/>
                <w:bCs/>
                <w:i w:val="0"/>
              </w:rPr>
              <w:t xml:space="preserve"> et des facteurs contributifs</w:t>
            </w:r>
            <w:r w:rsidRPr="00B826B9">
              <w:rPr>
                <w:rFonts w:ascii="Arial Narrow" w:hAnsi="Arial Narrow"/>
                <w:bCs/>
                <w:i w:val="0"/>
              </w:rPr>
              <w:t>) et communi</w:t>
            </w:r>
            <w:r w:rsidR="00D309E2" w:rsidRPr="00B826B9">
              <w:rPr>
                <w:rFonts w:ascii="Arial Narrow" w:hAnsi="Arial Narrow"/>
                <w:bCs/>
                <w:i w:val="0"/>
              </w:rPr>
              <w:t xml:space="preserve">quée aux autres </w:t>
            </w:r>
            <w:r w:rsidR="00F75A4A" w:rsidRPr="00B826B9">
              <w:rPr>
                <w:rFonts w:ascii="Arial Narrow" w:hAnsi="Arial Narrow"/>
                <w:bCs/>
                <w:i w:val="0"/>
              </w:rPr>
              <w:t xml:space="preserve">établissements </w:t>
            </w:r>
            <w:r w:rsidR="00D309E2" w:rsidRPr="00B826B9">
              <w:rPr>
                <w:rFonts w:ascii="Arial Narrow" w:hAnsi="Arial Narrow"/>
                <w:bCs/>
                <w:i w:val="0"/>
              </w:rPr>
              <w:t>avant la réunion, dans le respect de l’anonymat</w:t>
            </w:r>
            <w:r w:rsidRPr="00B826B9">
              <w:rPr>
                <w:rFonts w:ascii="Arial Narrow" w:hAnsi="Arial Narrow"/>
                <w:bCs/>
                <w:i w:val="0"/>
              </w:rPr>
              <w:t xml:space="preserve">. </w:t>
            </w:r>
          </w:p>
          <w:p w:rsidR="00F75A4A" w:rsidRPr="00B826B9" w:rsidRDefault="00F75A4A" w:rsidP="00B826B9">
            <w:pPr>
              <w:pStyle w:val="En-tte"/>
              <w:ind w:left="404"/>
              <w:jc w:val="both"/>
              <w:rPr>
                <w:rFonts w:ascii="Arial Narrow" w:hAnsi="Arial Narrow"/>
                <w:bCs/>
                <w:i w:val="0"/>
              </w:rPr>
            </w:pPr>
            <w:r w:rsidRPr="00B826B9">
              <w:rPr>
                <w:rFonts w:ascii="Arial Narrow" w:hAnsi="Arial Narrow"/>
                <w:bCs/>
                <w:i w:val="0"/>
              </w:rPr>
              <w:t xml:space="preserve">Cette démarche repose sur une méthode d’analyse systémique spécifique, développée à partir des méthodes ORION et/ou ALARM. Une grille d’analyse est proposée par le groupe de travail QUALIRIS. </w:t>
            </w:r>
            <w:r w:rsidR="00D224FD" w:rsidRPr="00B826B9">
              <w:rPr>
                <w:rFonts w:ascii="Arial Narrow" w:hAnsi="Arial Narrow"/>
                <w:bCs/>
                <w:i w:val="0"/>
              </w:rPr>
              <w:t xml:space="preserve">Elle </w:t>
            </w:r>
            <w:r w:rsidRPr="00B826B9">
              <w:rPr>
                <w:rFonts w:ascii="Arial Narrow" w:hAnsi="Arial Narrow"/>
                <w:bCs/>
                <w:i w:val="0"/>
              </w:rPr>
              <w:t>permet une analyse systémique simplifiée combinant les deux méthodes et p</w:t>
            </w:r>
            <w:r w:rsidR="007C129E" w:rsidRPr="00B826B9">
              <w:rPr>
                <w:rFonts w:ascii="Arial Narrow" w:hAnsi="Arial Narrow"/>
                <w:bCs/>
                <w:i w:val="0"/>
              </w:rPr>
              <w:t>ouvant servir</w:t>
            </w:r>
            <w:r w:rsidRPr="00B826B9">
              <w:rPr>
                <w:rFonts w:ascii="Arial Narrow" w:hAnsi="Arial Narrow"/>
                <w:bCs/>
                <w:i w:val="0"/>
              </w:rPr>
              <w:t xml:space="preserve">, dans le cadre d’un EI Grave, </w:t>
            </w:r>
            <w:r w:rsidR="007C129E" w:rsidRPr="00B826B9">
              <w:rPr>
                <w:rFonts w:ascii="Arial Narrow" w:hAnsi="Arial Narrow"/>
                <w:bCs/>
                <w:i w:val="0"/>
              </w:rPr>
              <w:t xml:space="preserve">à </w:t>
            </w:r>
            <w:r w:rsidRPr="00B826B9">
              <w:rPr>
                <w:rFonts w:ascii="Arial Narrow" w:hAnsi="Arial Narrow"/>
                <w:bCs/>
                <w:i w:val="0"/>
              </w:rPr>
              <w:t xml:space="preserve">éventuellement transmettre l’analyse sur le formulaire réglementaire (volet N°2). </w:t>
            </w:r>
            <w:r w:rsidR="00090750" w:rsidRPr="00B826B9">
              <w:rPr>
                <w:rFonts w:ascii="Arial Narrow" w:hAnsi="Arial Narrow"/>
                <w:bCs/>
                <w:i w:val="0"/>
              </w:rPr>
              <w:t>Si besoin, les établissements p</w:t>
            </w:r>
            <w:r w:rsidR="0099654F" w:rsidRPr="00B826B9">
              <w:rPr>
                <w:rFonts w:ascii="Arial Narrow" w:hAnsi="Arial Narrow"/>
                <w:bCs/>
                <w:i w:val="0"/>
              </w:rPr>
              <w:t xml:space="preserve">ourront </w:t>
            </w:r>
            <w:r w:rsidR="00090750" w:rsidRPr="00B826B9">
              <w:rPr>
                <w:rFonts w:ascii="Arial Narrow" w:hAnsi="Arial Narrow"/>
                <w:bCs/>
                <w:i w:val="0"/>
              </w:rPr>
              <w:t xml:space="preserve">solliciter l’appui méthodologique de la SRA. </w:t>
            </w:r>
            <w:r w:rsidRPr="00B826B9">
              <w:rPr>
                <w:rFonts w:ascii="Arial Narrow" w:hAnsi="Arial Narrow"/>
                <w:bCs/>
                <w:i w:val="0"/>
              </w:rPr>
              <w:t xml:space="preserve">   </w:t>
            </w:r>
          </w:p>
          <w:p w:rsidR="00EF3880" w:rsidRPr="00B826B9" w:rsidRDefault="00EF3880" w:rsidP="00B826B9">
            <w:pPr>
              <w:pStyle w:val="En-tte"/>
              <w:ind w:left="404"/>
              <w:jc w:val="both"/>
              <w:rPr>
                <w:rFonts w:ascii="Arial Narrow" w:hAnsi="Arial Narrow"/>
                <w:bCs/>
                <w:i w:val="0"/>
              </w:rPr>
            </w:pPr>
            <w:r w:rsidRPr="00B826B9">
              <w:rPr>
                <w:rFonts w:ascii="Arial Narrow" w:hAnsi="Arial Narrow"/>
                <w:bCs/>
                <w:i w:val="0"/>
              </w:rPr>
              <w:t xml:space="preserve">Le choix de l’animateur et du secrétaire </w:t>
            </w:r>
            <w:r w:rsidR="00D224FD" w:rsidRPr="00B826B9">
              <w:rPr>
                <w:rFonts w:ascii="Arial Narrow" w:hAnsi="Arial Narrow"/>
                <w:bCs/>
                <w:i w:val="0"/>
              </w:rPr>
              <w:t xml:space="preserve">de la réunion </w:t>
            </w:r>
            <w:r w:rsidRPr="00B826B9">
              <w:rPr>
                <w:rFonts w:ascii="Arial Narrow" w:hAnsi="Arial Narrow"/>
                <w:bCs/>
                <w:i w:val="0"/>
              </w:rPr>
              <w:t>est conv</w:t>
            </w:r>
            <w:r w:rsidR="00F75A4A" w:rsidRPr="00B826B9">
              <w:rPr>
                <w:rFonts w:ascii="Arial Narrow" w:hAnsi="Arial Narrow"/>
                <w:bCs/>
                <w:i w:val="0"/>
              </w:rPr>
              <w:t xml:space="preserve">enu au préalable conjointement parmi les participants. </w:t>
            </w:r>
          </w:p>
          <w:p w:rsidR="00197909" w:rsidRPr="00D224FD" w:rsidRDefault="00197909" w:rsidP="00947C6B">
            <w:pPr>
              <w:pStyle w:val="En-tte"/>
              <w:jc w:val="both"/>
              <w:rPr>
                <w:rFonts w:ascii="Arial Narrow" w:hAnsi="Arial Narrow"/>
                <w:bCs/>
                <w:u w:val="single"/>
              </w:rPr>
            </w:pPr>
          </w:p>
          <w:p w:rsidR="00947C6B" w:rsidRPr="00B826B9" w:rsidRDefault="00947C6B" w:rsidP="00F75A4A">
            <w:pPr>
              <w:pStyle w:val="En-tte"/>
              <w:numPr>
                <w:ilvl w:val="0"/>
                <w:numId w:val="2"/>
              </w:numPr>
              <w:jc w:val="both"/>
              <w:rPr>
                <w:rStyle w:val="Accentuation"/>
              </w:rPr>
            </w:pPr>
            <w:r w:rsidRPr="00B826B9">
              <w:rPr>
                <w:rStyle w:val="Accentuation"/>
              </w:rPr>
              <w:t xml:space="preserve">La réunion de REX </w:t>
            </w:r>
          </w:p>
          <w:p w:rsidR="00901C1A" w:rsidRPr="00B826B9" w:rsidRDefault="00901C1A" w:rsidP="00B826B9">
            <w:pPr>
              <w:pStyle w:val="En-tte"/>
              <w:numPr>
                <w:ilvl w:val="1"/>
                <w:numId w:val="2"/>
              </w:numPr>
              <w:spacing w:before="40"/>
              <w:ind w:left="828" w:hanging="425"/>
              <w:jc w:val="both"/>
              <w:rPr>
                <w:rFonts w:ascii="Arial Narrow" w:hAnsi="Arial Narrow"/>
                <w:bCs/>
                <w:i w:val="0"/>
              </w:rPr>
            </w:pPr>
            <w:r w:rsidRPr="00B826B9">
              <w:rPr>
                <w:rFonts w:ascii="Arial Narrow" w:hAnsi="Arial Narrow"/>
                <w:bCs/>
                <w:i w:val="0"/>
              </w:rPr>
              <w:t xml:space="preserve">Cette démarche est </w:t>
            </w:r>
            <w:r w:rsidRPr="00B826B9">
              <w:rPr>
                <w:rFonts w:ascii="Arial Narrow" w:hAnsi="Arial Narrow"/>
                <w:bCs/>
                <w:i w:val="0"/>
                <w:u w:val="single"/>
              </w:rPr>
              <w:t>pluri professionnelle</w:t>
            </w:r>
            <w:r w:rsidRPr="00B826B9">
              <w:rPr>
                <w:rFonts w:ascii="Arial Narrow" w:hAnsi="Arial Narrow"/>
                <w:bCs/>
                <w:i w:val="0"/>
              </w:rPr>
              <w:t>. L</w:t>
            </w:r>
            <w:r w:rsidR="00947C6B" w:rsidRPr="00B826B9">
              <w:rPr>
                <w:rFonts w:ascii="Arial Narrow" w:hAnsi="Arial Narrow"/>
                <w:bCs/>
                <w:i w:val="0"/>
              </w:rPr>
              <w:t xml:space="preserve">es établissements déterminent conjointement les professionnels concernés qui seront sollicités ou associés à l’analyse ainsi qu’à la réunion. </w:t>
            </w:r>
          </w:p>
          <w:p w:rsidR="00947C6B" w:rsidRPr="00B826B9" w:rsidRDefault="00947C6B" w:rsidP="00B826B9">
            <w:pPr>
              <w:pStyle w:val="En-tte"/>
              <w:numPr>
                <w:ilvl w:val="1"/>
                <w:numId w:val="2"/>
              </w:numPr>
              <w:spacing w:before="40"/>
              <w:ind w:left="828" w:hanging="425"/>
              <w:jc w:val="both"/>
              <w:rPr>
                <w:rFonts w:ascii="Arial Narrow" w:hAnsi="Arial Narrow"/>
                <w:bCs/>
                <w:i w:val="0"/>
              </w:rPr>
            </w:pPr>
            <w:r w:rsidRPr="00B826B9">
              <w:rPr>
                <w:rFonts w:ascii="Arial Narrow" w:hAnsi="Arial Narrow"/>
                <w:bCs/>
                <w:i w:val="0"/>
              </w:rPr>
              <w:t>Il apparait raisonnable d’organiser la réunion da</w:t>
            </w:r>
            <w:r w:rsidR="00901C1A" w:rsidRPr="00B826B9">
              <w:rPr>
                <w:rFonts w:ascii="Arial Narrow" w:hAnsi="Arial Narrow"/>
                <w:bCs/>
                <w:i w:val="0"/>
              </w:rPr>
              <w:t xml:space="preserve">ns </w:t>
            </w:r>
            <w:r w:rsidR="00901C1A" w:rsidRPr="00B826B9">
              <w:rPr>
                <w:rFonts w:ascii="Arial Narrow" w:hAnsi="Arial Narrow"/>
                <w:bCs/>
                <w:i w:val="0"/>
                <w:u w:val="single"/>
              </w:rPr>
              <w:t>un délai de maximum 2 mois après le signalement</w:t>
            </w:r>
            <w:r w:rsidR="00901C1A" w:rsidRPr="00B826B9">
              <w:rPr>
                <w:rFonts w:ascii="Arial Narrow" w:hAnsi="Arial Narrow"/>
                <w:bCs/>
                <w:i w:val="0"/>
              </w:rPr>
              <w:t>.</w:t>
            </w:r>
            <w:r w:rsidRPr="00B826B9">
              <w:rPr>
                <w:rFonts w:ascii="Arial Narrow" w:hAnsi="Arial Narrow"/>
                <w:bCs/>
                <w:i w:val="0"/>
              </w:rPr>
              <w:t xml:space="preserve">  </w:t>
            </w:r>
          </w:p>
          <w:p w:rsidR="00947C6B" w:rsidRPr="00B826B9" w:rsidRDefault="00947C6B" w:rsidP="00B826B9">
            <w:pPr>
              <w:pStyle w:val="En-tte"/>
              <w:numPr>
                <w:ilvl w:val="1"/>
                <w:numId w:val="2"/>
              </w:numPr>
              <w:spacing w:before="40"/>
              <w:ind w:left="828" w:hanging="425"/>
              <w:jc w:val="both"/>
              <w:rPr>
                <w:rFonts w:ascii="Arial Narrow" w:hAnsi="Arial Narrow"/>
                <w:bCs/>
                <w:i w:val="0"/>
                <w:u w:val="single"/>
              </w:rPr>
            </w:pPr>
            <w:r w:rsidRPr="00B826B9">
              <w:rPr>
                <w:rFonts w:ascii="Arial Narrow" w:hAnsi="Arial Narrow"/>
                <w:bCs/>
                <w:i w:val="0"/>
              </w:rPr>
              <w:t xml:space="preserve">Le lieu est à convenir entre les établissements. Il peut s’agir de visioconférence. </w:t>
            </w:r>
            <w:r w:rsidRPr="00B826B9">
              <w:rPr>
                <w:rFonts w:ascii="Arial Narrow" w:hAnsi="Arial Narrow"/>
                <w:bCs/>
                <w:i w:val="0"/>
                <w:u w:val="single"/>
              </w:rPr>
              <w:t xml:space="preserve"> </w:t>
            </w:r>
          </w:p>
          <w:p w:rsidR="00197909" w:rsidRPr="00B826B9" w:rsidRDefault="00197909" w:rsidP="00B826B9">
            <w:pPr>
              <w:pStyle w:val="En-tte"/>
              <w:ind w:left="360"/>
              <w:jc w:val="both"/>
              <w:rPr>
                <w:rFonts w:ascii="Arial Narrow" w:hAnsi="Arial Narrow"/>
                <w:bCs/>
                <w:i w:val="0"/>
              </w:rPr>
            </w:pPr>
            <w:r w:rsidRPr="00B826B9">
              <w:rPr>
                <w:rFonts w:ascii="Arial Narrow" w:hAnsi="Arial Narrow"/>
                <w:bCs/>
                <w:i w:val="0"/>
              </w:rPr>
              <w:t xml:space="preserve">Un émargement des participants est réalisé et transmis aux établissements, permettant de justifier de </w:t>
            </w:r>
            <w:r w:rsidR="00D224FD" w:rsidRPr="00B826B9">
              <w:rPr>
                <w:rFonts w:ascii="Arial Narrow" w:hAnsi="Arial Narrow"/>
                <w:bCs/>
                <w:i w:val="0"/>
              </w:rPr>
              <w:t xml:space="preserve">leur </w:t>
            </w:r>
            <w:r w:rsidRPr="00B826B9">
              <w:rPr>
                <w:rFonts w:ascii="Arial Narrow" w:hAnsi="Arial Narrow"/>
                <w:bCs/>
                <w:i w:val="0"/>
              </w:rPr>
              <w:t xml:space="preserve">participation à une </w:t>
            </w:r>
            <w:r w:rsidR="00D224FD" w:rsidRPr="00B826B9">
              <w:rPr>
                <w:rFonts w:ascii="Arial Narrow" w:hAnsi="Arial Narrow"/>
                <w:bCs/>
                <w:i w:val="0"/>
              </w:rPr>
              <w:t>démarche d’</w:t>
            </w:r>
            <w:r w:rsidRPr="00B826B9">
              <w:rPr>
                <w:rFonts w:ascii="Arial Narrow" w:hAnsi="Arial Narrow"/>
                <w:bCs/>
                <w:i w:val="0"/>
              </w:rPr>
              <w:t>E</w:t>
            </w:r>
            <w:r w:rsidR="00D224FD" w:rsidRPr="00B826B9">
              <w:rPr>
                <w:rFonts w:ascii="Arial Narrow" w:hAnsi="Arial Narrow"/>
                <w:bCs/>
                <w:i w:val="0"/>
              </w:rPr>
              <w:t xml:space="preserve">valuation des </w:t>
            </w:r>
            <w:r w:rsidRPr="00B826B9">
              <w:rPr>
                <w:rFonts w:ascii="Arial Narrow" w:hAnsi="Arial Narrow"/>
                <w:bCs/>
                <w:i w:val="0"/>
              </w:rPr>
              <w:t>P</w:t>
            </w:r>
            <w:r w:rsidR="00D224FD" w:rsidRPr="00B826B9">
              <w:rPr>
                <w:rFonts w:ascii="Arial Narrow" w:hAnsi="Arial Narrow"/>
                <w:bCs/>
                <w:i w:val="0"/>
              </w:rPr>
              <w:t xml:space="preserve">ratiques </w:t>
            </w:r>
            <w:r w:rsidRPr="00B826B9">
              <w:rPr>
                <w:rFonts w:ascii="Arial Narrow" w:hAnsi="Arial Narrow"/>
                <w:bCs/>
                <w:i w:val="0"/>
              </w:rPr>
              <w:t>P</w:t>
            </w:r>
            <w:r w:rsidR="00D224FD" w:rsidRPr="00B826B9">
              <w:rPr>
                <w:rFonts w:ascii="Arial Narrow" w:hAnsi="Arial Narrow"/>
                <w:bCs/>
                <w:i w:val="0"/>
              </w:rPr>
              <w:t>rofessionnelles</w:t>
            </w:r>
            <w:r w:rsidRPr="00B826B9">
              <w:rPr>
                <w:rFonts w:ascii="Arial Narrow" w:hAnsi="Arial Narrow"/>
                <w:bCs/>
                <w:i w:val="0"/>
              </w:rPr>
              <w:t>.</w:t>
            </w:r>
          </w:p>
          <w:p w:rsidR="00197909" w:rsidRPr="00B826B9" w:rsidRDefault="00D309E2" w:rsidP="00B826B9">
            <w:pPr>
              <w:pStyle w:val="En-tte"/>
              <w:ind w:left="360"/>
              <w:jc w:val="both"/>
              <w:rPr>
                <w:rFonts w:ascii="Arial Narrow" w:hAnsi="Arial Narrow"/>
                <w:bCs/>
                <w:i w:val="0"/>
              </w:rPr>
            </w:pPr>
            <w:r w:rsidRPr="00B826B9">
              <w:rPr>
                <w:rFonts w:ascii="Arial Narrow" w:hAnsi="Arial Narrow"/>
                <w:bCs/>
                <w:i w:val="0"/>
              </w:rPr>
              <w:t>Le plan d’actions est élaboré et validé en séance. Un compte–rendu est rédigé en accord collégial par l</w:t>
            </w:r>
            <w:r w:rsidR="00EF3880" w:rsidRPr="00B826B9">
              <w:rPr>
                <w:rFonts w:ascii="Arial Narrow" w:hAnsi="Arial Narrow"/>
                <w:bCs/>
                <w:i w:val="0"/>
              </w:rPr>
              <w:t>e secrétaire désigné</w:t>
            </w:r>
            <w:r w:rsidRPr="00B826B9">
              <w:rPr>
                <w:rFonts w:ascii="Arial Narrow" w:hAnsi="Arial Narrow"/>
                <w:bCs/>
                <w:i w:val="0"/>
              </w:rPr>
              <w:t xml:space="preserve">.  </w:t>
            </w:r>
          </w:p>
          <w:p w:rsidR="00197909" w:rsidRPr="00B826B9" w:rsidRDefault="00B826B9" w:rsidP="00B826B9">
            <w:pPr>
              <w:rPr>
                <w:rStyle w:val="Accentuation"/>
                <w:bCs w:val="0"/>
              </w:rPr>
            </w:pPr>
            <w:r w:rsidRPr="00B826B9">
              <w:rPr>
                <w:rStyle w:val="Accentuation"/>
                <w:bCs w:val="0"/>
              </w:rPr>
              <w:t xml:space="preserve"> </w:t>
            </w:r>
          </w:p>
          <w:p w:rsidR="00197909" w:rsidRPr="00B826B9" w:rsidRDefault="00D224FD" w:rsidP="00D224FD">
            <w:pPr>
              <w:pStyle w:val="En-tte"/>
              <w:numPr>
                <w:ilvl w:val="0"/>
                <w:numId w:val="2"/>
              </w:numPr>
              <w:jc w:val="both"/>
              <w:rPr>
                <w:rStyle w:val="Accentuation"/>
                <w:bCs w:val="0"/>
              </w:rPr>
            </w:pPr>
            <w:r w:rsidRPr="00B826B9">
              <w:rPr>
                <w:rStyle w:val="Accentuation"/>
                <w:bCs w:val="0"/>
              </w:rPr>
              <w:t>Communication</w:t>
            </w:r>
          </w:p>
          <w:p w:rsidR="00FD1D60" w:rsidRPr="00B826B9" w:rsidRDefault="00D309E2" w:rsidP="00B826B9">
            <w:pPr>
              <w:ind w:left="404"/>
              <w:jc w:val="both"/>
              <w:rPr>
                <w:rFonts w:ascii="Arial Narrow" w:eastAsia="Times New Roman" w:hAnsi="Arial Narrow" w:cs="Arial"/>
                <w:i w:val="0"/>
              </w:rPr>
            </w:pPr>
            <w:r w:rsidRPr="00B826B9">
              <w:rPr>
                <w:rFonts w:ascii="Arial Narrow" w:eastAsia="Times New Roman" w:hAnsi="Arial Narrow" w:cs="Arial"/>
                <w:i w:val="0"/>
              </w:rPr>
              <w:t xml:space="preserve">La secrétaire de la réunion adresse le </w:t>
            </w:r>
            <w:r w:rsidR="00D224FD" w:rsidRPr="00B826B9">
              <w:rPr>
                <w:rFonts w:ascii="Arial Narrow" w:eastAsia="Times New Roman" w:hAnsi="Arial Narrow" w:cs="Arial"/>
                <w:i w:val="0"/>
              </w:rPr>
              <w:t xml:space="preserve">compte-rendu </w:t>
            </w:r>
            <w:r w:rsidRPr="00B826B9">
              <w:rPr>
                <w:rFonts w:ascii="Arial Narrow" w:eastAsia="Times New Roman" w:hAnsi="Arial Narrow" w:cs="Arial"/>
                <w:i w:val="0"/>
              </w:rPr>
              <w:t xml:space="preserve">aux personnes ressources de chaque établissement, qui fera le relais auprès des personnes concernées. </w:t>
            </w:r>
          </w:p>
          <w:p w:rsidR="00FD1D60" w:rsidRPr="00D224FD" w:rsidRDefault="00FD1D60" w:rsidP="00E97E71">
            <w:pPr>
              <w:pStyle w:val="Default"/>
              <w:rPr>
                <w:rFonts w:ascii="Arial Narrow" w:hAnsi="Arial Narrow"/>
                <w:sz w:val="22"/>
                <w:szCs w:val="22"/>
              </w:rPr>
            </w:pPr>
          </w:p>
          <w:p w:rsidR="00D309E2" w:rsidRPr="00B826B9" w:rsidRDefault="00D224FD" w:rsidP="00B826B9">
            <w:pPr>
              <w:pStyle w:val="Paragraphedeliste"/>
              <w:numPr>
                <w:ilvl w:val="0"/>
                <w:numId w:val="2"/>
              </w:numPr>
              <w:rPr>
                <w:rStyle w:val="Accentuation"/>
                <w:bCs w:val="0"/>
              </w:rPr>
            </w:pPr>
            <w:r w:rsidRPr="00B826B9">
              <w:rPr>
                <w:rStyle w:val="Accentuation"/>
                <w:bCs w:val="0"/>
              </w:rPr>
              <w:t>Suivi du plan d’actions </w:t>
            </w:r>
          </w:p>
          <w:p w:rsidR="00D309E2" w:rsidRPr="00BB5C03" w:rsidRDefault="00D309E2" w:rsidP="00B826B9">
            <w:pPr>
              <w:pStyle w:val="Default"/>
              <w:ind w:left="404"/>
              <w:jc w:val="both"/>
              <w:rPr>
                <w:rFonts w:ascii="Arial Narrow" w:hAnsi="Arial Narrow"/>
                <w:sz w:val="20"/>
                <w:szCs w:val="20"/>
              </w:rPr>
            </w:pPr>
            <w:r w:rsidRPr="00BB5C03">
              <w:rPr>
                <w:rFonts w:ascii="Arial Narrow" w:hAnsi="Arial Narrow"/>
                <w:sz w:val="20"/>
                <w:szCs w:val="20"/>
              </w:rPr>
              <w:t xml:space="preserve">Chaque établissement organise le suivi de ses actions </w:t>
            </w:r>
            <w:r w:rsidR="00E25047" w:rsidRPr="00BB5C03">
              <w:rPr>
                <w:rFonts w:ascii="Arial Narrow" w:hAnsi="Arial Narrow"/>
                <w:sz w:val="20"/>
                <w:szCs w:val="20"/>
              </w:rPr>
              <w:t>dans son P</w:t>
            </w:r>
            <w:r w:rsidR="00D224FD" w:rsidRPr="00BB5C03">
              <w:rPr>
                <w:rFonts w:ascii="Arial Narrow" w:hAnsi="Arial Narrow"/>
                <w:sz w:val="20"/>
                <w:szCs w:val="20"/>
              </w:rPr>
              <w:t>rogramme d’</w:t>
            </w:r>
            <w:r w:rsidR="00E25047" w:rsidRPr="00BB5C03">
              <w:rPr>
                <w:rFonts w:ascii="Arial Narrow" w:hAnsi="Arial Narrow"/>
                <w:sz w:val="20"/>
                <w:szCs w:val="20"/>
              </w:rPr>
              <w:t>A</w:t>
            </w:r>
            <w:r w:rsidR="00D224FD" w:rsidRPr="00BB5C03">
              <w:rPr>
                <w:rFonts w:ascii="Arial Narrow" w:hAnsi="Arial Narrow"/>
                <w:sz w:val="20"/>
                <w:szCs w:val="20"/>
              </w:rPr>
              <w:t xml:space="preserve">ctions </w:t>
            </w:r>
            <w:r w:rsidR="00E25047" w:rsidRPr="00BB5C03">
              <w:rPr>
                <w:rFonts w:ascii="Arial Narrow" w:hAnsi="Arial Narrow"/>
                <w:sz w:val="20"/>
                <w:szCs w:val="20"/>
              </w:rPr>
              <w:t>Q</w:t>
            </w:r>
            <w:r w:rsidR="00D224FD" w:rsidRPr="00BB5C03">
              <w:rPr>
                <w:rFonts w:ascii="Arial Narrow" w:hAnsi="Arial Narrow"/>
                <w:sz w:val="20"/>
                <w:szCs w:val="20"/>
              </w:rPr>
              <w:t xml:space="preserve">ualité </w:t>
            </w:r>
            <w:r w:rsidR="00E25047" w:rsidRPr="00BB5C03">
              <w:rPr>
                <w:rFonts w:ascii="Arial Narrow" w:hAnsi="Arial Narrow"/>
                <w:sz w:val="20"/>
                <w:szCs w:val="20"/>
              </w:rPr>
              <w:t>S</w:t>
            </w:r>
            <w:r w:rsidR="00D224FD" w:rsidRPr="00BB5C03">
              <w:rPr>
                <w:rFonts w:ascii="Arial Narrow" w:hAnsi="Arial Narrow"/>
                <w:sz w:val="20"/>
                <w:szCs w:val="20"/>
              </w:rPr>
              <w:t xml:space="preserve">écurité des </w:t>
            </w:r>
            <w:r w:rsidR="00E25047" w:rsidRPr="00BB5C03">
              <w:rPr>
                <w:rFonts w:ascii="Arial Narrow" w:hAnsi="Arial Narrow"/>
                <w:sz w:val="20"/>
                <w:szCs w:val="20"/>
              </w:rPr>
              <w:t>S</w:t>
            </w:r>
            <w:r w:rsidR="00D224FD" w:rsidRPr="00BB5C03">
              <w:rPr>
                <w:rFonts w:ascii="Arial Narrow" w:hAnsi="Arial Narrow"/>
                <w:sz w:val="20"/>
                <w:szCs w:val="20"/>
              </w:rPr>
              <w:t>oins</w:t>
            </w:r>
            <w:r w:rsidR="00090750" w:rsidRPr="00BB5C03">
              <w:rPr>
                <w:rFonts w:ascii="Arial Narrow" w:hAnsi="Arial Narrow"/>
                <w:sz w:val="20"/>
                <w:szCs w:val="20"/>
              </w:rPr>
              <w:t xml:space="preserve"> et sa communication interne</w:t>
            </w:r>
            <w:r w:rsidR="00E25047" w:rsidRPr="00BB5C03">
              <w:rPr>
                <w:rFonts w:ascii="Arial Narrow" w:hAnsi="Arial Narrow"/>
                <w:sz w:val="20"/>
                <w:szCs w:val="20"/>
              </w:rPr>
              <w:t xml:space="preserve">. Une communication de l’état d’avancement des actions </w:t>
            </w:r>
            <w:r w:rsidR="004E61ED" w:rsidRPr="00BB5C03">
              <w:rPr>
                <w:rFonts w:ascii="Arial Narrow" w:hAnsi="Arial Narrow"/>
                <w:sz w:val="20"/>
                <w:szCs w:val="20"/>
              </w:rPr>
              <w:t>entre</w:t>
            </w:r>
            <w:r w:rsidR="00E25047" w:rsidRPr="00BB5C03">
              <w:rPr>
                <w:rFonts w:ascii="Arial Narrow" w:hAnsi="Arial Narrow"/>
                <w:sz w:val="20"/>
                <w:szCs w:val="20"/>
              </w:rPr>
              <w:t xml:space="preserve"> établissements </w:t>
            </w:r>
            <w:r w:rsidR="00B14BBE" w:rsidRPr="00BB5C03">
              <w:rPr>
                <w:rFonts w:ascii="Arial Narrow" w:hAnsi="Arial Narrow"/>
                <w:sz w:val="20"/>
                <w:szCs w:val="20"/>
              </w:rPr>
              <w:t xml:space="preserve">est souhaitable </w:t>
            </w:r>
            <w:r w:rsidR="00B826B9" w:rsidRPr="00BB5C03">
              <w:rPr>
                <w:rFonts w:ascii="Arial Narrow" w:hAnsi="Arial Narrow"/>
                <w:sz w:val="20"/>
                <w:szCs w:val="20"/>
              </w:rPr>
              <w:t>au fur et à mesure de leur mise en place, notamment dans le cas des GHT</w:t>
            </w:r>
            <w:r w:rsidR="00B14BBE" w:rsidRPr="00BB5C03">
              <w:rPr>
                <w:rFonts w:ascii="Arial Narrow" w:hAnsi="Arial Narrow"/>
                <w:sz w:val="20"/>
                <w:szCs w:val="20"/>
              </w:rPr>
              <w:t xml:space="preserve">. </w:t>
            </w:r>
            <w:r w:rsidR="00E25047" w:rsidRPr="00BB5C03">
              <w:rPr>
                <w:rFonts w:ascii="Arial Narrow" w:hAnsi="Arial Narrow"/>
                <w:sz w:val="20"/>
                <w:szCs w:val="20"/>
              </w:rPr>
              <w:t xml:space="preserve"> </w:t>
            </w:r>
          </w:p>
          <w:p w:rsidR="00F75A4A" w:rsidRPr="00D224FD" w:rsidRDefault="00F75A4A" w:rsidP="00E25047">
            <w:pPr>
              <w:pStyle w:val="Default"/>
              <w:jc w:val="both"/>
              <w:rPr>
                <w:rFonts w:ascii="Arial Narrow" w:hAnsi="Arial Narrow"/>
                <w:sz w:val="22"/>
                <w:szCs w:val="22"/>
              </w:rPr>
            </w:pPr>
          </w:p>
          <w:p w:rsidR="00F75A4A" w:rsidRDefault="00F75A4A" w:rsidP="00F75A4A">
            <w:pPr>
              <w:pStyle w:val="Default"/>
              <w:jc w:val="center"/>
              <w:rPr>
                <w:rFonts w:ascii="Arial Narrow" w:hAnsi="Arial Narrow"/>
                <w:sz w:val="22"/>
                <w:szCs w:val="22"/>
                <w:u w:val="single"/>
              </w:rPr>
            </w:pPr>
            <w:r w:rsidRPr="00D224FD">
              <w:rPr>
                <w:rFonts w:ascii="Arial Narrow" w:hAnsi="Arial Narrow"/>
                <w:sz w:val="22"/>
                <w:szCs w:val="22"/>
                <w:u w:val="single"/>
              </w:rPr>
              <w:t>Etablissements signataires :</w:t>
            </w:r>
          </w:p>
          <w:p w:rsidR="007C129E" w:rsidRDefault="007C129E" w:rsidP="00F75A4A">
            <w:pPr>
              <w:pStyle w:val="Default"/>
              <w:jc w:val="center"/>
              <w:rPr>
                <w:rFonts w:ascii="Arial Narrow" w:hAnsi="Arial Narrow"/>
                <w:sz w:val="22"/>
                <w:szCs w:val="22"/>
                <w:u w:val="single"/>
              </w:rPr>
            </w:pPr>
          </w:p>
          <w:p w:rsidR="007C129E" w:rsidRPr="00D224FD" w:rsidRDefault="007C129E" w:rsidP="00F75A4A">
            <w:pPr>
              <w:pStyle w:val="Default"/>
              <w:jc w:val="center"/>
              <w:rPr>
                <w:rFonts w:ascii="Arial Narrow" w:hAnsi="Arial Narrow"/>
                <w:sz w:val="22"/>
                <w:szCs w:val="22"/>
                <w:u w:val="single"/>
              </w:rPr>
            </w:pPr>
          </w:p>
          <w:p w:rsidR="007C129E" w:rsidRPr="00D224FD" w:rsidRDefault="00B826B9" w:rsidP="00B826B9">
            <w:pPr>
              <w:tabs>
                <w:tab w:val="center" w:pos="2246"/>
                <w:tab w:val="center" w:pos="7889"/>
              </w:tabs>
              <w:rPr>
                <w:rFonts w:ascii="Arial Narrow" w:hAnsi="Arial Narrow"/>
              </w:rPr>
            </w:pPr>
            <w:r>
              <w:rPr>
                <w:rFonts w:ascii="Arial Narrow" w:hAnsi="Arial Narrow"/>
                <w:b/>
              </w:rPr>
              <w:tab/>
            </w:r>
            <w:r w:rsidR="00F75A4A" w:rsidRPr="00D224FD">
              <w:rPr>
                <w:rFonts w:ascii="Arial Narrow" w:hAnsi="Arial Narrow"/>
                <w:b/>
              </w:rPr>
              <w:t xml:space="preserve">Directeur Général </w:t>
            </w:r>
            <w:r>
              <w:rPr>
                <w:rFonts w:ascii="Arial Narrow" w:hAnsi="Arial Narrow"/>
                <w:b/>
              </w:rPr>
              <w:tab/>
            </w:r>
            <w:r w:rsidR="00F75A4A" w:rsidRPr="00D224FD">
              <w:rPr>
                <w:rFonts w:ascii="Arial Narrow" w:hAnsi="Arial Narrow"/>
                <w:b/>
              </w:rPr>
              <w:t xml:space="preserve">Président de CME </w:t>
            </w:r>
          </w:p>
        </w:tc>
      </w:tr>
    </w:tbl>
    <w:p w:rsidR="009F2B4A" w:rsidRDefault="009F2B4A" w:rsidP="00BB5C03"/>
    <w:sectPr w:rsidR="009F2B4A" w:rsidSect="009A4A5D">
      <w:footerReference w:type="default" r:id="rId10"/>
      <w:pgSz w:w="11906" w:h="16838"/>
      <w:pgMar w:top="567" w:right="567" w:bottom="567" w:left="567" w:header="0" w:footer="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1B" w:rsidRDefault="00AD361B" w:rsidP="007919D4">
      <w:pPr>
        <w:spacing w:after="0" w:line="240" w:lineRule="auto"/>
      </w:pPr>
      <w:r>
        <w:separator/>
      </w:r>
    </w:p>
  </w:endnote>
  <w:endnote w:type="continuationSeparator" w:id="0">
    <w:p w:rsidR="00AD361B" w:rsidRDefault="00AD361B" w:rsidP="007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20" w:rsidRDefault="009B0120">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1B" w:rsidRDefault="00AD361B" w:rsidP="007919D4">
      <w:pPr>
        <w:spacing w:after="0" w:line="240" w:lineRule="auto"/>
      </w:pPr>
      <w:r>
        <w:separator/>
      </w:r>
    </w:p>
  </w:footnote>
  <w:footnote w:type="continuationSeparator" w:id="0">
    <w:p w:rsidR="00AD361B" w:rsidRDefault="00AD361B" w:rsidP="00791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65DED"/>
    <w:multiLevelType w:val="hybridMultilevel"/>
    <w:tmpl w:val="5A84F6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883857"/>
    <w:multiLevelType w:val="hybridMultilevel"/>
    <w:tmpl w:val="34366FE4"/>
    <w:lvl w:ilvl="0" w:tplc="040C000D">
      <w:start w:val="1"/>
      <w:numFmt w:val="bullet"/>
      <w:lvlText w:val=""/>
      <w:lvlJc w:val="left"/>
      <w:pPr>
        <w:ind w:left="720" w:hanging="360"/>
      </w:pPr>
      <w:rPr>
        <w:rFonts w:ascii="Wingdings" w:hAnsi="Wingdings" w:hint="default"/>
      </w:rPr>
    </w:lvl>
    <w:lvl w:ilvl="1" w:tplc="049E7096">
      <w:numFmt w:val="bullet"/>
      <w:lvlText w:val="-"/>
      <w:lvlJc w:val="left"/>
      <w:pPr>
        <w:ind w:left="1440" w:hanging="360"/>
      </w:pPr>
      <w:rPr>
        <w:rFonts w:ascii="Arial Narrow" w:eastAsiaTheme="minorEastAsia" w:hAnsi="Arial Narrow"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D566F4"/>
    <w:multiLevelType w:val="hybridMultilevel"/>
    <w:tmpl w:val="CB900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90"/>
    <w:rsid w:val="000129DB"/>
    <w:rsid w:val="00090750"/>
    <w:rsid w:val="0011030D"/>
    <w:rsid w:val="00113C3F"/>
    <w:rsid w:val="00197909"/>
    <w:rsid w:val="001E0841"/>
    <w:rsid w:val="001F522C"/>
    <w:rsid w:val="002E69E8"/>
    <w:rsid w:val="002F5C8F"/>
    <w:rsid w:val="00315D3F"/>
    <w:rsid w:val="003222D6"/>
    <w:rsid w:val="0033018A"/>
    <w:rsid w:val="003529DC"/>
    <w:rsid w:val="00391788"/>
    <w:rsid w:val="003C18EC"/>
    <w:rsid w:val="00403AD2"/>
    <w:rsid w:val="00474940"/>
    <w:rsid w:val="00484210"/>
    <w:rsid w:val="00491BA3"/>
    <w:rsid w:val="004E61ED"/>
    <w:rsid w:val="0051084F"/>
    <w:rsid w:val="0054504B"/>
    <w:rsid w:val="005543D9"/>
    <w:rsid w:val="00605DC2"/>
    <w:rsid w:val="00615016"/>
    <w:rsid w:val="00653080"/>
    <w:rsid w:val="0066613E"/>
    <w:rsid w:val="006B1432"/>
    <w:rsid w:val="006F0A69"/>
    <w:rsid w:val="007674AD"/>
    <w:rsid w:val="007919D4"/>
    <w:rsid w:val="007A1C5D"/>
    <w:rsid w:val="007C129E"/>
    <w:rsid w:val="00820CDF"/>
    <w:rsid w:val="0083157B"/>
    <w:rsid w:val="008C7289"/>
    <w:rsid w:val="00901C1A"/>
    <w:rsid w:val="00947C6B"/>
    <w:rsid w:val="00965787"/>
    <w:rsid w:val="00970D03"/>
    <w:rsid w:val="0099654F"/>
    <w:rsid w:val="009A4A5D"/>
    <w:rsid w:val="009B0120"/>
    <w:rsid w:val="009F2B4A"/>
    <w:rsid w:val="00A03FE9"/>
    <w:rsid w:val="00A65C90"/>
    <w:rsid w:val="00A66BAE"/>
    <w:rsid w:val="00A81A72"/>
    <w:rsid w:val="00AB3E45"/>
    <w:rsid w:val="00AB4573"/>
    <w:rsid w:val="00AD09E7"/>
    <w:rsid w:val="00AD361B"/>
    <w:rsid w:val="00B14BBE"/>
    <w:rsid w:val="00B652AB"/>
    <w:rsid w:val="00B826B9"/>
    <w:rsid w:val="00BB3918"/>
    <w:rsid w:val="00BB5C03"/>
    <w:rsid w:val="00C3342F"/>
    <w:rsid w:val="00C8748E"/>
    <w:rsid w:val="00C91EAB"/>
    <w:rsid w:val="00CF74C2"/>
    <w:rsid w:val="00D224FD"/>
    <w:rsid w:val="00D22795"/>
    <w:rsid w:val="00D309E2"/>
    <w:rsid w:val="00D36040"/>
    <w:rsid w:val="00D409FC"/>
    <w:rsid w:val="00D650C2"/>
    <w:rsid w:val="00D67FDF"/>
    <w:rsid w:val="00D75522"/>
    <w:rsid w:val="00DB1390"/>
    <w:rsid w:val="00DC0440"/>
    <w:rsid w:val="00E25047"/>
    <w:rsid w:val="00E3047A"/>
    <w:rsid w:val="00E5215F"/>
    <w:rsid w:val="00E76037"/>
    <w:rsid w:val="00E80990"/>
    <w:rsid w:val="00E97E71"/>
    <w:rsid w:val="00ED3142"/>
    <w:rsid w:val="00EE1B2D"/>
    <w:rsid w:val="00EF2B59"/>
    <w:rsid w:val="00EF3880"/>
    <w:rsid w:val="00F216F4"/>
    <w:rsid w:val="00F36AB9"/>
    <w:rsid w:val="00F36D5A"/>
    <w:rsid w:val="00F50BB7"/>
    <w:rsid w:val="00F52C9A"/>
    <w:rsid w:val="00F75A4A"/>
    <w:rsid w:val="00F87251"/>
    <w:rsid w:val="00FD1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B9"/>
    <w:rPr>
      <w:i/>
      <w:iCs/>
      <w:sz w:val="20"/>
      <w:szCs w:val="20"/>
    </w:rPr>
  </w:style>
  <w:style w:type="paragraph" w:styleId="Titre1">
    <w:name w:val="heading 1"/>
    <w:basedOn w:val="Normal"/>
    <w:next w:val="Normal"/>
    <w:link w:val="Titre1Car"/>
    <w:uiPriority w:val="9"/>
    <w:qFormat/>
    <w:rsid w:val="00B826B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B826B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B826B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B826B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B826B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B826B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B826B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B826B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B826B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7919D4"/>
    <w:pPr>
      <w:tabs>
        <w:tab w:val="center" w:pos="4536"/>
        <w:tab w:val="right" w:pos="9072"/>
      </w:tabs>
      <w:spacing w:after="0" w:line="240" w:lineRule="auto"/>
    </w:pPr>
  </w:style>
  <w:style w:type="character" w:customStyle="1" w:styleId="En-tteCar">
    <w:name w:val="En-tête Car"/>
    <w:basedOn w:val="Policepardfaut"/>
    <w:link w:val="En-tte"/>
    <w:rsid w:val="007919D4"/>
  </w:style>
  <w:style w:type="paragraph" w:styleId="Pieddepage">
    <w:name w:val="footer"/>
    <w:basedOn w:val="Normal"/>
    <w:link w:val="PieddepageCar"/>
    <w:uiPriority w:val="99"/>
    <w:unhideWhenUsed/>
    <w:rsid w:val="00791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19D4"/>
  </w:style>
  <w:style w:type="paragraph" w:styleId="Textedebulles">
    <w:name w:val="Balloon Text"/>
    <w:basedOn w:val="Normal"/>
    <w:link w:val="TextedebullesCar"/>
    <w:uiPriority w:val="99"/>
    <w:semiHidden/>
    <w:unhideWhenUsed/>
    <w:rsid w:val="007919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9D4"/>
    <w:rPr>
      <w:rFonts w:ascii="Tahoma" w:hAnsi="Tahoma" w:cs="Tahoma"/>
      <w:sz w:val="16"/>
      <w:szCs w:val="16"/>
    </w:rPr>
  </w:style>
  <w:style w:type="paragraph" w:customStyle="1" w:styleId="Default">
    <w:name w:val="Default"/>
    <w:rsid w:val="00E97E71"/>
    <w:pPr>
      <w:autoSpaceDE w:val="0"/>
      <w:autoSpaceDN w:val="0"/>
      <w:adjustRightInd w:val="0"/>
      <w:spacing w:after="0" w:line="240" w:lineRule="auto"/>
    </w:pPr>
    <w:rPr>
      <w:rFonts w:ascii="Comic Sans MS" w:hAnsi="Comic Sans MS" w:cs="Comic Sans MS"/>
      <w:color w:val="000000"/>
      <w:sz w:val="24"/>
      <w:szCs w:val="24"/>
    </w:rPr>
  </w:style>
  <w:style w:type="character" w:customStyle="1" w:styleId="Titre1Car">
    <w:name w:val="Titre 1 Car"/>
    <w:basedOn w:val="Policepardfaut"/>
    <w:link w:val="Titre1"/>
    <w:uiPriority w:val="9"/>
    <w:rsid w:val="00B826B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semiHidden/>
    <w:rsid w:val="00B826B9"/>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B826B9"/>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B826B9"/>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B826B9"/>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B826B9"/>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B826B9"/>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B826B9"/>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B826B9"/>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B826B9"/>
    <w:rPr>
      <w:b/>
      <w:bCs/>
      <w:color w:val="943634" w:themeColor="accent2" w:themeShade="BF"/>
      <w:sz w:val="18"/>
      <w:szCs w:val="18"/>
    </w:rPr>
  </w:style>
  <w:style w:type="paragraph" w:styleId="Titre">
    <w:name w:val="Title"/>
    <w:basedOn w:val="Normal"/>
    <w:next w:val="Normal"/>
    <w:link w:val="TitreCar"/>
    <w:uiPriority w:val="10"/>
    <w:qFormat/>
    <w:rsid w:val="00B826B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B826B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B826B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B826B9"/>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B826B9"/>
    <w:rPr>
      <w:b/>
      <w:bCs/>
      <w:spacing w:val="0"/>
    </w:rPr>
  </w:style>
  <w:style w:type="character" w:styleId="Accentuation">
    <w:name w:val="Emphasis"/>
    <w:uiPriority w:val="20"/>
    <w:qFormat/>
    <w:rsid w:val="00B826B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B826B9"/>
    <w:pPr>
      <w:spacing w:after="0" w:line="240" w:lineRule="auto"/>
    </w:pPr>
  </w:style>
  <w:style w:type="paragraph" w:styleId="Paragraphedeliste">
    <w:name w:val="List Paragraph"/>
    <w:basedOn w:val="Normal"/>
    <w:uiPriority w:val="34"/>
    <w:qFormat/>
    <w:rsid w:val="00B826B9"/>
    <w:pPr>
      <w:ind w:left="720"/>
      <w:contextualSpacing/>
    </w:pPr>
  </w:style>
  <w:style w:type="paragraph" w:styleId="Citation">
    <w:name w:val="Quote"/>
    <w:basedOn w:val="Normal"/>
    <w:next w:val="Normal"/>
    <w:link w:val="CitationCar"/>
    <w:uiPriority w:val="29"/>
    <w:qFormat/>
    <w:rsid w:val="00B826B9"/>
    <w:rPr>
      <w:i w:val="0"/>
      <w:iCs w:val="0"/>
      <w:color w:val="943634" w:themeColor="accent2" w:themeShade="BF"/>
    </w:rPr>
  </w:style>
  <w:style w:type="character" w:customStyle="1" w:styleId="CitationCar">
    <w:name w:val="Citation Car"/>
    <w:basedOn w:val="Policepardfaut"/>
    <w:link w:val="Citation"/>
    <w:uiPriority w:val="29"/>
    <w:rsid w:val="00B826B9"/>
    <w:rPr>
      <w:color w:val="943634" w:themeColor="accent2" w:themeShade="BF"/>
      <w:sz w:val="20"/>
      <w:szCs w:val="20"/>
    </w:rPr>
  </w:style>
  <w:style w:type="paragraph" w:styleId="Citationintense">
    <w:name w:val="Intense Quote"/>
    <w:basedOn w:val="Normal"/>
    <w:next w:val="Normal"/>
    <w:link w:val="CitationintenseCar"/>
    <w:uiPriority w:val="30"/>
    <w:qFormat/>
    <w:rsid w:val="00B826B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B826B9"/>
    <w:rPr>
      <w:rFonts w:asciiTheme="majorHAnsi" w:eastAsiaTheme="majorEastAsia" w:hAnsiTheme="majorHAnsi" w:cstheme="majorBidi"/>
      <w:b/>
      <w:bCs/>
      <w:i/>
      <w:iCs/>
      <w:color w:val="C0504D" w:themeColor="accent2"/>
      <w:sz w:val="20"/>
      <w:szCs w:val="20"/>
    </w:rPr>
  </w:style>
  <w:style w:type="character" w:styleId="Emphaseple">
    <w:name w:val="Subtle Emphasis"/>
    <w:uiPriority w:val="19"/>
    <w:qFormat/>
    <w:rsid w:val="00B826B9"/>
    <w:rPr>
      <w:rFonts w:asciiTheme="majorHAnsi" w:eastAsiaTheme="majorEastAsia" w:hAnsiTheme="majorHAnsi" w:cstheme="majorBidi"/>
      <w:i/>
      <w:iCs/>
      <w:color w:val="C0504D" w:themeColor="accent2"/>
    </w:rPr>
  </w:style>
  <w:style w:type="character" w:styleId="Emphaseintense">
    <w:name w:val="Intense Emphasis"/>
    <w:uiPriority w:val="21"/>
    <w:qFormat/>
    <w:rsid w:val="00B826B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B826B9"/>
    <w:rPr>
      <w:i/>
      <w:iCs/>
      <w:smallCaps/>
      <w:color w:val="C0504D" w:themeColor="accent2"/>
      <w:u w:color="C0504D" w:themeColor="accent2"/>
    </w:rPr>
  </w:style>
  <w:style w:type="character" w:styleId="Rfrenceintense">
    <w:name w:val="Intense Reference"/>
    <w:uiPriority w:val="32"/>
    <w:qFormat/>
    <w:rsid w:val="00B826B9"/>
    <w:rPr>
      <w:b/>
      <w:bCs/>
      <w:i/>
      <w:iCs/>
      <w:smallCaps/>
      <w:color w:val="C0504D" w:themeColor="accent2"/>
      <w:u w:color="C0504D" w:themeColor="accent2"/>
    </w:rPr>
  </w:style>
  <w:style w:type="character" w:styleId="Titredulivre">
    <w:name w:val="Book Title"/>
    <w:uiPriority w:val="33"/>
    <w:qFormat/>
    <w:rsid w:val="00B826B9"/>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B826B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B9"/>
    <w:rPr>
      <w:i/>
      <w:iCs/>
      <w:sz w:val="20"/>
      <w:szCs w:val="20"/>
    </w:rPr>
  </w:style>
  <w:style w:type="paragraph" w:styleId="Titre1">
    <w:name w:val="heading 1"/>
    <w:basedOn w:val="Normal"/>
    <w:next w:val="Normal"/>
    <w:link w:val="Titre1Car"/>
    <w:uiPriority w:val="9"/>
    <w:qFormat/>
    <w:rsid w:val="00B826B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B826B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B826B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B826B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B826B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B826B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B826B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B826B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B826B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7919D4"/>
    <w:pPr>
      <w:tabs>
        <w:tab w:val="center" w:pos="4536"/>
        <w:tab w:val="right" w:pos="9072"/>
      </w:tabs>
      <w:spacing w:after="0" w:line="240" w:lineRule="auto"/>
    </w:pPr>
  </w:style>
  <w:style w:type="character" w:customStyle="1" w:styleId="En-tteCar">
    <w:name w:val="En-tête Car"/>
    <w:basedOn w:val="Policepardfaut"/>
    <w:link w:val="En-tte"/>
    <w:rsid w:val="007919D4"/>
  </w:style>
  <w:style w:type="paragraph" w:styleId="Pieddepage">
    <w:name w:val="footer"/>
    <w:basedOn w:val="Normal"/>
    <w:link w:val="PieddepageCar"/>
    <w:uiPriority w:val="99"/>
    <w:unhideWhenUsed/>
    <w:rsid w:val="00791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19D4"/>
  </w:style>
  <w:style w:type="paragraph" w:styleId="Textedebulles">
    <w:name w:val="Balloon Text"/>
    <w:basedOn w:val="Normal"/>
    <w:link w:val="TextedebullesCar"/>
    <w:uiPriority w:val="99"/>
    <w:semiHidden/>
    <w:unhideWhenUsed/>
    <w:rsid w:val="007919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9D4"/>
    <w:rPr>
      <w:rFonts w:ascii="Tahoma" w:hAnsi="Tahoma" w:cs="Tahoma"/>
      <w:sz w:val="16"/>
      <w:szCs w:val="16"/>
    </w:rPr>
  </w:style>
  <w:style w:type="paragraph" w:customStyle="1" w:styleId="Default">
    <w:name w:val="Default"/>
    <w:rsid w:val="00E97E71"/>
    <w:pPr>
      <w:autoSpaceDE w:val="0"/>
      <w:autoSpaceDN w:val="0"/>
      <w:adjustRightInd w:val="0"/>
      <w:spacing w:after="0" w:line="240" w:lineRule="auto"/>
    </w:pPr>
    <w:rPr>
      <w:rFonts w:ascii="Comic Sans MS" w:hAnsi="Comic Sans MS" w:cs="Comic Sans MS"/>
      <w:color w:val="000000"/>
      <w:sz w:val="24"/>
      <w:szCs w:val="24"/>
    </w:rPr>
  </w:style>
  <w:style w:type="character" w:customStyle="1" w:styleId="Titre1Car">
    <w:name w:val="Titre 1 Car"/>
    <w:basedOn w:val="Policepardfaut"/>
    <w:link w:val="Titre1"/>
    <w:uiPriority w:val="9"/>
    <w:rsid w:val="00B826B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semiHidden/>
    <w:rsid w:val="00B826B9"/>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B826B9"/>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B826B9"/>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B826B9"/>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B826B9"/>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B826B9"/>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B826B9"/>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B826B9"/>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B826B9"/>
    <w:rPr>
      <w:b/>
      <w:bCs/>
      <w:color w:val="943634" w:themeColor="accent2" w:themeShade="BF"/>
      <w:sz w:val="18"/>
      <w:szCs w:val="18"/>
    </w:rPr>
  </w:style>
  <w:style w:type="paragraph" w:styleId="Titre">
    <w:name w:val="Title"/>
    <w:basedOn w:val="Normal"/>
    <w:next w:val="Normal"/>
    <w:link w:val="TitreCar"/>
    <w:uiPriority w:val="10"/>
    <w:qFormat/>
    <w:rsid w:val="00B826B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B826B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B826B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B826B9"/>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B826B9"/>
    <w:rPr>
      <w:b/>
      <w:bCs/>
      <w:spacing w:val="0"/>
    </w:rPr>
  </w:style>
  <w:style w:type="character" w:styleId="Accentuation">
    <w:name w:val="Emphasis"/>
    <w:uiPriority w:val="20"/>
    <w:qFormat/>
    <w:rsid w:val="00B826B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B826B9"/>
    <w:pPr>
      <w:spacing w:after="0" w:line="240" w:lineRule="auto"/>
    </w:pPr>
  </w:style>
  <w:style w:type="paragraph" w:styleId="Paragraphedeliste">
    <w:name w:val="List Paragraph"/>
    <w:basedOn w:val="Normal"/>
    <w:uiPriority w:val="34"/>
    <w:qFormat/>
    <w:rsid w:val="00B826B9"/>
    <w:pPr>
      <w:ind w:left="720"/>
      <w:contextualSpacing/>
    </w:pPr>
  </w:style>
  <w:style w:type="paragraph" w:styleId="Citation">
    <w:name w:val="Quote"/>
    <w:basedOn w:val="Normal"/>
    <w:next w:val="Normal"/>
    <w:link w:val="CitationCar"/>
    <w:uiPriority w:val="29"/>
    <w:qFormat/>
    <w:rsid w:val="00B826B9"/>
    <w:rPr>
      <w:i w:val="0"/>
      <w:iCs w:val="0"/>
      <w:color w:val="943634" w:themeColor="accent2" w:themeShade="BF"/>
    </w:rPr>
  </w:style>
  <w:style w:type="character" w:customStyle="1" w:styleId="CitationCar">
    <w:name w:val="Citation Car"/>
    <w:basedOn w:val="Policepardfaut"/>
    <w:link w:val="Citation"/>
    <w:uiPriority w:val="29"/>
    <w:rsid w:val="00B826B9"/>
    <w:rPr>
      <w:color w:val="943634" w:themeColor="accent2" w:themeShade="BF"/>
      <w:sz w:val="20"/>
      <w:szCs w:val="20"/>
    </w:rPr>
  </w:style>
  <w:style w:type="paragraph" w:styleId="Citationintense">
    <w:name w:val="Intense Quote"/>
    <w:basedOn w:val="Normal"/>
    <w:next w:val="Normal"/>
    <w:link w:val="CitationintenseCar"/>
    <w:uiPriority w:val="30"/>
    <w:qFormat/>
    <w:rsid w:val="00B826B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B826B9"/>
    <w:rPr>
      <w:rFonts w:asciiTheme="majorHAnsi" w:eastAsiaTheme="majorEastAsia" w:hAnsiTheme="majorHAnsi" w:cstheme="majorBidi"/>
      <w:b/>
      <w:bCs/>
      <w:i/>
      <w:iCs/>
      <w:color w:val="C0504D" w:themeColor="accent2"/>
      <w:sz w:val="20"/>
      <w:szCs w:val="20"/>
    </w:rPr>
  </w:style>
  <w:style w:type="character" w:styleId="Emphaseple">
    <w:name w:val="Subtle Emphasis"/>
    <w:uiPriority w:val="19"/>
    <w:qFormat/>
    <w:rsid w:val="00B826B9"/>
    <w:rPr>
      <w:rFonts w:asciiTheme="majorHAnsi" w:eastAsiaTheme="majorEastAsia" w:hAnsiTheme="majorHAnsi" w:cstheme="majorBidi"/>
      <w:i/>
      <w:iCs/>
      <w:color w:val="C0504D" w:themeColor="accent2"/>
    </w:rPr>
  </w:style>
  <w:style w:type="character" w:styleId="Emphaseintense">
    <w:name w:val="Intense Emphasis"/>
    <w:uiPriority w:val="21"/>
    <w:qFormat/>
    <w:rsid w:val="00B826B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B826B9"/>
    <w:rPr>
      <w:i/>
      <w:iCs/>
      <w:smallCaps/>
      <w:color w:val="C0504D" w:themeColor="accent2"/>
      <w:u w:color="C0504D" w:themeColor="accent2"/>
    </w:rPr>
  </w:style>
  <w:style w:type="character" w:styleId="Rfrenceintense">
    <w:name w:val="Intense Reference"/>
    <w:uiPriority w:val="32"/>
    <w:qFormat/>
    <w:rsid w:val="00B826B9"/>
    <w:rPr>
      <w:b/>
      <w:bCs/>
      <w:i/>
      <w:iCs/>
      <w:smallCaps/>
      <w:color w:val="C0504D" w:themeColor="accent2"/>
      <w:u w:color="C0504D" w:themeColor="accent2"/>
    </w:rPr>
  </w:style>
  <w:style w:type="character" w:styleId="Titredulivre">
    <w:name w:val="Book Title"/>
    <w:uiPriority w:val="33"/>
    <w:qFormat/>
    <w:rsid w:val="00B826B9"/>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B826B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2821">
      <w:bodyDiv w:val="1"/>
      <w:marLeft w:val="0"/>
      <w:marRight w:val="0"/>
      <w:marTop w:val="0"/>
      <w:marBottom w:val="0"/>
      <w:divBdr>
        <w:top w:val="none" w:sz="0" w:space="0" w:color="auto"/>
        <w:left w:val="none" w:sz="0" w:space="0" w:color="auto"/>
        <w:bottom w:val="none" w:sz="0" w:space="0" w:color="auto"/>
        <w:right w:val="none" w:sz="0" w:space="0" w:color="auto"/>
      </w:divBdr>
    </w:div>
    <w:div w:id="158815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49A4B-59AF-4223-B871-A8473081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wroblewski</dc:creator>
  <cp:lastModifiedBy>HOSSELET Valerie</cp:lastModifiedBy>
  <cp:revision>2</cp:revision>
  <cp:lastPrinted>2018-12-06T14:24:00Z</cp:lastPrinted>
  <dcterms:created xsi:type="dcterms:W3CDTF">2019-02-06T11:25:00Z</dcterms:created>
  <dcterms:modified xsi:type="dcterms:W3CDTF">2019-02-06T11:25:00Z</dcterms:modified>
</cp:coreProperties>
</file>

<file path=suivi_versioning.xml>38661_1
</file>